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276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25 февраля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находящегося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Гильфанова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Рината </w:t>
      </w:r>
      <w:r>
        <w:rPr>
          <w:rFonts w:ascii="Times New Roman" w:eastAsia="Times New Roman" w:hAnsi="Times New Roman" w:cs="Times New Roman"/>
          <w:sz w:val="27"/>
          <w:szCs w:val="27"/>
        </w:rPr>
        <w:t>Файзельгаяновича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8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правонарушении, предусмотренном ч. 4 ст. 12.15 КоАП РФ,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29.12.2025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</w:t>
      </w:r>
      <w:r>
        <w:rPr>
          <w:rStyle w:val="cat-Timegrp-20rplc-16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9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Гильфанов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управляя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т/с </w:t>
      </w:r>
      <w:r>
        <w:rPr>
          <w:rFonts w:ascii="Times New Roman" w:eastAsia="Times New Roman" w:hAnsi="Times New Roman" w:cs="Times New Roman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ада Веста </w:t>
      </w:r>
      <w:r>
        <w:rPr>
          <w:rStyle w:val="cat-CarNumbergrp-21rplc-21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соверш</w:t>
      </w:r>
      <w:r>
        <w:rPr>
          <w:rFonts w:ascii="Times New Roman" w:eastAsia="Times New Roman" w:hAnsi="Times New Roman" w:cs="Times New Roman"/>
          <w:sz w:val="27"/>
          <w:szCs w:val="27"/>
        </w:rPr>
        <w:t>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обгон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т/с движущегося в попутном направлении </w:t>
      </w:r>
      <w:r>
        <w:rPr>
          <w:rFonts w:ascii="Times New Roman" w:eastAsia="Times New Roman" w:hAnsi="Times New Roman" w:cs="Times New Roman"/>
          <w:sz w:val="27"/>
          <w:szCs w:val="27"/>
        </w:rPr>
        <w:t>в зоне действия дорожного знака 3.20 «Обгон запрещен»,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выездом на полосу дороги предназначенную для движения встречного т/с, </w:t>
      </w:r>
      <w:r>
        <w:rPr>
          <w:rFonts w:ascii="Times New Roman" w:eastAsia="Times New Roman" w:hAnsi="Times New Roman" w:cs="Times New Roman"/>
          <w:sz w:val="27"/>
          <w:szCs w:val="27"/>
        </w:rPr>
        <w:t>чем нарушил п. 1.3 ПДД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Гильфанов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вину в совершении инкриминируемого правонарушения признал, не отрицал изложенные в протоколе об административном правонарушении обстоятельства, ходатайств не заявлял.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Гильфанова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совершении правонарушения, предусмотренного ч.4 ст. 12.15 КоАП РФ, подтверждается: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>86 ХМ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681398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29.12.2025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объяснением свидетеля от 29.12.2025 года; схемой места совершения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 от 29.12.2025 года к протокола 86 ХМ 681398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ИДПС взвода №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роты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ДПС ГИБДД УМВД России по ХМАО-Югре от </w:t>
      </w:r>
      <w:r>
        <w:rPr>
          <w:rFonts w:ascii="Times New Roman" w:eastAsia="Times New Roman" w:hAnsi="Times New Roman" w:cs="Times New Roman"/>
          <w:sz w:val="27"/>
          <w:szCs w:val="27"/>
        </w:rPr>
        <w:t>29.12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года; </w:t>
      </w:r>
      <w:r>
        <w:rPr>
          <w:rFonts w:ascii="Times New Roman" w:eastAsia="Times New Roman" w:hAnsi="Times New Roman" w:cs="Times New Roman"/>
          <w:sz w:val="27"/>
          <w:szCs w:val="27"/>
        </w:rPr>
        <w:t>проектом организации дорожного движения на автомобильной дороге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общего пользования федерального значения </w:t>
      </w:r>
      <w:r>
        <w:rPr>
          <w:rStyle w:val="cat-UserDefinedgrp-30rplc-3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; реестром правонарушений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Часть 4 ст. 12.15 КоАП РФ предусматривает административную ответственность за выезд в нарушение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Правил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ст.12.15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1.3 Правил дорожного движения РФ, утверждённых постановлением Правительства РФ от 23.10.1993 г. № 1090, участники дорожного движения обязаны знать и соблюдать относящиеся к ним требования Правил, сигналов светофоров, знаков и разметок.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Пунктом 1.2 названных Правил предусмотрено, что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Запрещающий знак 3.20 «Обгон запрещен» обозначает начало участка дороги, на протяжении которого запрещается обгон всех транспортных средств. В соответствии с пунктом 5.4.21 ГОСТ Р 52289-2004 знак 3.20 устанавливается на участках дорог с необеспеченной видимостью движения встречного автомобиля, зона действия знака в этом случае определяется протяженностью опасного участка.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правовой позиции Конституционного Суда Российской Федерации, изложенной им в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Определении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от 18</w:t>
      </w:r>
      <w:r>
        <w:rPr>
          <w:rFonts w:ascii="Times New Roman" w:eastAsia="Times New Roman" w:hAnsi="Times New Roman" w:cs="Times New Roman"/>
          <w:sz w:val="27"/>
          <w:szCs w:val="27"/>
        </w:rPr>
        <w:t>.01.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2011 г. N 6-О-О (а также, в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Определении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.12.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2010 г. N 1570-О-О),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4 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12.15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во взаимосвязи с его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статьями 2.1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подлежат лица, совершившие </w:t>
      </w:r>
      <w:r>
        <w:rPr>
          <w:rFonts w:ascii="Times New Roman" w:eastAsia="Times New Roman" w:hAnsi="Times New Roman" w:cs="Times New Roman"/>
          <w:sz w:val="27"/>
          <w:szCs w:val="27"/>
        </w:rPr>
        <w:t>соответствующее деяние как умышленно, так и по неосторожности.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>Гильфанова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установлена, а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 правильно квалифицированными по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 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12.15 КоАП РФ – как выезд в нарушение Правил дорожного движения на сторону дороги, предназначенную для встречного движения.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возможность рассмотрения дела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не имеется. 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>Гильфановым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вины, раскаяние в содеянном.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отношение последнего к содеянному,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полагает возможным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Гильфанову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штрафа.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Гильфанова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Рината </w:t>
      </w:r>
      <w:r>
        <w:rPr>
          <w:rFonts w:ascii="Times New Roman" w:eastAsia="Times New Roman" w:hAnsi="Times New Roman" w:cs="Times New Roman"/>
          <w:sz w:val="27"/>
          <w:szCs w:val="27"/>
        </w:rPr>
        <w:t>Файзельгаяновича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правонарушения, предусмотренного ч. 4 ст. 12.15 КоАП РФ и подвергнуть наказанию в виде административного штрафа в размере </w:t>
      </w:r>
      <w:r>
        <w:rPr>
          <w:rStyle w:val="cat-Sumgrp-18rplc-3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по реквизитам: согласно извещению (форма № ПД-4) приложение к постановлению.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10" w:anchor="/document/12125267/entry/322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1 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1.1, 1.3 -1.3-3 и 1.4 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10" w:anchor="/document/12125267/entry/31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31.5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уплате административного штрафа не позднее тридцати дней со дня вынесения данного постановления, административный штраф может быть уплачен в размере 75 процентов от суммы наложенного административного штрафа.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административного штрафа в установленный законом срок влечет административную ответственность по ч. 1 ст. 20.25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Т.А. Шулакова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Т.А. Шулакова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headerReference w:type="default" r:id="rId11"/>
      <w:footerReference w:type="default" r:id="rId12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25707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6">
    <w:name w:val="cat-UserDefined grp-28 rplc-6"/>
    <w:basedOn w:val="DefaultParagraphFont"/>
  </w:style>
  <w:style w:type="character" w:customStyle="1" w:styleId="cat-Timegrp-20rplc-16">
    <w:name w:val="cat-Time grp-20 rplc-16"/>
    <w:basedOn w:val="DefaultParagraphFont"/>
  </w:style>
  <w:style w:type="character" w:customStyle="1" w:styleId="cat-UserDefinedgrp-29rplc-17">
    <w:name w:val="cat-UserDefined grp-29 rplc-17"/>
    <w:basedOn w:val="DefaultParagraphFont"/>
  </w:style>
  <w:style w:type="character" w:customStyle="1" w:styleId="cat-CarNumbergrp-21rplc-21">
    <w:name w:val="cat-CarNumber grp-21 rplc-21"/>
    <w:basedOn w:val="DefaultParagraphFont"/>
  </w:style>
  <w:style w:type="character" w:customStyle="1" w:styleId="cat-UserDefinedgrp-30rplc-30">
    <w:name w:val="cat-UserDefined grp-30 rplc-30"/>
    <w:basedOn w:val="DefaultParagraphFont"/>
  </w:style>
  <w:style w:type="character" w:customStyle="1" w:styleId="cat-Sumgrp-18rplc-39">
    <w:name w:val="cat-Sum grp-18 rplc-3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sud.garant.ru/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consultantplus://offline/ref=B7A1769E56CBD9E6CA28B3203F467A6C1D227F27A2C9A1216CF4432A4AF2W5O" TargetMode="External" /><Relationship Id="rId6" Type="http://schemas.openxmlformats.org/officeDocument/2006/relationships/hyperlink" Target="consultantplus://offline/ref=B7A1769E56CBD9E6CA28B3203F467A6C1D23762AAFCFA1216CF4432A4AF2W5O" TargetMode="External" /><Relationship Id="rId7" Type="http://schemas.openxmlformats.org/officeDocument/2006/relationships/hyperlink" Target="consultantplus://offline/ref=B7A1769E56CBD9E6CA28B3203F467A6C1D247E21ABCAA1216CF4432A4A25FA9B5F3F63F4B487F0W6O" TargetMode="External" /><Relationship Id="rId8" Type="http://schemas.openxmlformats.org/officeDocument/2006/relationships/hyperlink" Target="consultantplus://offline/ref=B7A1769E56CBD9E6CA28B3203F467A6C1D247E21ABCAA1216CF4432A4A25FA9B5F3F63F7B68203CAF3W9O" TargetMode="External" /><Relationship Id="rId9" Type="http://schemas.openxmlformats.org/officeDocument/2006/relationships/hyperlink" Target="consultantplus://offline/ref=B7A1769E56CBD9E6CA28B3203F467A6C1D247E21ABCAA1216CF4432A4A25FA9B5F3F63F7B68203CAF3WDO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C7EC4-A39B-4FEE-A727-CA82C852078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